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360" w:lineRule="auto"/>
        <w:jc w:val="center"/>
        <w:rPr>
          <w:rFonts w:ascii="黑体" w:eastAsia="黑体"/>
        </w:rPr>
      </w:pPr>
      <w:r>
        <w:rPr>
          <w:rFonts w:hint="eastAsia" w:ascii="黑体" w:eastAsia="黑体"/>
        </w:rPr>
        <w:t>病人监护仪技术参数</w:t>
      </w:r>
      <w:bookmarkStart w:id="0" w:name="_GoBack"/>
      <w:bookmarkEnd w:id="0"/>
    </w:p>
    <w:p>
      <w:pPr>
        <w:autoSpaceDE w:val="0"/>
        <w:autoSpaceDN w:val="0"/>
        <w:adjustRightInd w:val="0"/>
        <w:spacing w:line="360" w:lineRule="auto"/>
        <w:jc w:val="left"/>
        <w:rPr>
          <w:rFonts w:ascii="黑体" w:hAnsi="宋体" w:eastAsia="黑体" w:cs="宋体"/>
          <w:b/>
          <w:kern w:val="0"/>
          <w:sz w:val="24"/>
        </w:rPr>
      </w:pPr>
      <w:r>
        <w:rPr>
          <w:rFonts w:hint="eastAsia" w:ascii="黑体" w:hAnsi="宋体" w:eastAsia="黑体" w:cs="宋体"/>
          <w:b/>
          <w:kern w:val="0"/>
          <w:sz w:val="24"/>
        </w:rPr>
        <w:t>监护仪外形结构：</w:t>
      </w:r>
    </w:p>
    <w:p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left"/>
        <w:rPr>
          <w:rFonts w:ascii="楷体_GB2312" w:hAnsi="宋体" w:eastAsia="楷体_GB2312"/>
          <w:sz w:val="24"/>
        </w:rPr>
      </w:pPr>
      <w:r>
        <w:rPr>
          <w:rFonts w:hint="eastAsia" w:ascii="楷体_GB2312" w:hAnsi="宋体" w:eastAsia="楷体_GB2312"/>
          <w:sz w:val="24"/>
        </w:rPr>
        <w:t>一体式监护仪,可用于监护成人,儿童,新生儿患者；</w:t>
      </w:r>
    </w:p>
    <w:p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left"/>
        <w:rPr>
          <w:rFonts w:ascii="楷体_GB2312" w:hAnsi="宋体" w:eastAsia="楷体_GB2312"/>
          <w:sz w:val="24"/>
        </w:rPr>
      </w:pPr>
      <w:r>
        <w:rPr>
          <w:rFonts w:hint="eastAsia" w:ascii="楷体_GB2312" w:hAnsi="宋体" w:eastAsia="楷体_GB2312"/>
          <w:sz w:val="24"/>
        </w:rPr>
        <w:t>≥</w:t>
      </w:r>
      <w:r>
        <w:rPr>
          <w:rFonts w:ascii="楷体_GB2312" w:hAnsi="宋体" w:eastAsia="楷体_GB2312"/>
          <w:sz w:val="24"/>
        </w:rPr>
        <w:t>1</w:t>
      </w:r>
      <w:r>
        <w:rPr>
          <w:rFonts w:hint="eastAsia" w:ascii="楷体_GB2312" w:hAnsi="宋体" w:eastAsia="楷体_GB2312"/>
          <w:sz w:val="24"/>
        </w:rPr>
        <w:t>2</w:t>
      </w:r>
      <w:r>
        <w:rPr>
          <w:rFonts w:ascii="楷体_GB2312" w:hAnsi="宋体" w:eastAsia="楷体_GB2312"/>
          <w:sz w:val="24"/>
        </w:rPr>
        <w:t>.1</w:t>
      </w:r>
      <w:r>
        <w:rPr>
          <w:rFonts w:hint="eastAsia" w:ascii="楷体_GB2312" w:hAnsi="宋体" w:eastAsia="楷体_GB2312"/>
          <w:sz w:val="24"/>
        </w:rPr>
        <w:t>寸彩色</w:t>
      </w:r>
      <w:r>
        <w:rPr>
          <w:rFonts w:ascii="楷体_GB2312" w:hAnsi="宋体" w:eastAsia="楷体_GB2312"/>
          <w:sz w:val="24"/>
        </w:rPr>
        <w:t>LCD</w:t>
      </w:r>
      <w:r>
        <w:rPr>
          <w:rFonts w:hint="eastAsia" w:ascii="楷体_GB2312" w:hAnsi="宋体" w:eastAsia="楷体_GB2312"/>
          <w:sz w:val="24"/>
        </w:rPr>
        <w:t>显示屏</w:t>
      </w:r>
      <w:r>
        <w:rPr>
          <w:rFonts w:ascii="楷体_GB2312" w:hAnsi="宋体" w:eastAsia="楷体_GB2312"/>
          <w:sz w:val="24"/>
        </w:rPr>
        <w:t>，LED背光</w:t>
      </w:r>
      <w:r>
        <w:rPr>
          <w:rFonts w:hint="eastAsia" w:ascii="楷体_GB2312" w:hAnsi="宋体" w:eastAsia="楷体_GB2312"/>
          <w:sz w:val="24"/>
        </w:rPr>
        <w:t>，彩色高分辨率≥800*600，≥8通道波形显示。</w:t>
      </w:r>
    </w:p>
    <w:p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left"/>
        <w:rPr>
          <w:rFonts w:ascii="楷体_GB2312" w:hAnsi="宋体" w:eastAsia="楷体_GB2312"/>
          <w:sz w:val="24"/>
        </w:rPr>
      </w:pPr>
      <w:r>
        <w:rPr>
          <w:rFonts w:hint="eastAsia" w:ascii="楷体_GB2312" w:hAnsi="宋体" w:eastAsia="楷体_GB2312"/>
          <w:sz w:val="24"/>
        </w:rPr>
        <w:t>主机带电池重量≤</w:t>
      </w:r>
      <w:r>
        <w:rPr>
          <w:rFonts w:ascii="楷体_GB2312" w:hAnsi="宋体" w:eastAsia="楷体_GB2312"/>
          <w:sz w:val="24"/>
        </w:rPr>
        <w:t>4</w:t>
      </w:r>
      <w:r>
        <w:rPr>
          <w:rFonts w:hint="eastAsia" w:ascii="楷体_GB2312" w:hAnsi="宋体" w:eastAsia="楷体_GB2312"/>
          <w:sz w:val="24"/>
        </w:rPr>
        <w:t>kg（标配</w:t>
      </w:r>
      <w:r>
        <w:rPr>
          <w:rFonts w:ascii="楷体_GB2312" w:hAnsi="宋体" w:eastAsia="楷体_GB2312"/>
          <w:sz w:val="24"/>
        </w:rPr>
        <w:t>，</w:t>
      </w:r>
      <w:r>
        <w:rPr>
          <w:rFonts w:hint="eastAsia" w:ascii="楷体_GB2312" w:hAnsi="宋体" w:eastAsia="楷体_GB2312"/>
          <w:sz w:val="24"/>
        </w:rPr>
        <w:t>不含</w:t>
      </w:r>
      <w:r>
        <w:rPr>
          <w:rFonts w:ascii="楷体_GB2312" w:hAnsi="宋体" w:eastAsia="楷体_GB2312"/>
          <w:sz w:val="24"/>
        </w:rPr>
        <w:t>记录仪）</w:t>
      </w:r>
      <w:r>
        <w:rPr>
          <w:rFonts w:hint="eastAsia" w:ascii="楷体_GB2312" w:hAnsi="宋体" w:eastAsia="楷体_GB2312"/>
          <w:sz w:val="24"/>
        </w:rPr>
        <w:t>；</w:t>
      </w:r>
    </w:p>
    <w:p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left"/>
        <w:rPr>
          <w:rFonts w:ascii="楷体_GB2312" w:hAnsi="宋体" w:eastAsia="楷体_GB2312"/>
          <w:sz w:val="24"/>
        </w:rPr>
      </w:pPr>
      <w:r>
        <w:rPr>
          <w:rFonts w:hint="eastAsia" w:ascii="楷体_GB2312" w:hAnsi="宋体" w:eastAsia="楷体_GB2312"/>
          <w:sz w:val="24"/>
        </w:rPr>
        <w:t>监测参数：</w:t>
      </w:r>
    </w:p>
    <w:p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left"/>
        <w:rPr>
          <w:rFonts w:ascii="楷体_GB2312" w:hAnsi="宋体" w:eastAsia="楷体_GB2312"/>
          <w:sz w:val="24"/>
        </w:rPr>
      </w:pPr>
      <w:r>
        <w:rPr>
          <w:rFonts w:hint="eastAsia" w:ascii="楷体_GB2312" w:hAnsi="宋体" w:eastAsia="楷体_GB2312"/>
          <w:sz w:val="24"/>
        </w:rPr>
        <w:t>标准配置可监测心电，呼吸，无创血压，血氧饱和度，脉搏和体温</w:t>
      </w:r>
    </w:p>
    <w:p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left"/>
        <w:rPr>
          <w:rFonts w:ascii="楷体_GB2312" w:hAnsi="宋体" w:eastAsia="楷体_GB2312"/>
          <w:sz w:val="24"/>
        </w:rPr>
      </w:pPr>
      <w:r>
        <w:rPr>
          <w:rFonts w:hint="eastAsia" w:ascii="楷体_GB2312" w:hAnsi="宋体" w:eastAsia="楷体_GB2312"/>
          <w:sz w:val="24"/>
        </w:rPr>
        <w:t>具备ECG多导同步分析功能，同时分析多个心电导联，个别导联干扰情况下仍能准确监测</w:t>
      </w:r>
    </w:p>
    <w:p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left"/>
        <w:rPr>
          <w:rFonts w:ascii="楷体_GB2312" w:hAnsi="宋体" w:eastAsia="楷体_GB2312"/>
          <w:sz w:val="24"/>
        </w:rPr>
      </w:pPr>
      <w:r>
        <w:rPr>
          <w:rFonts w:hint="eastAsia" w:ascii="楷体_GB2312" w:hAnsi="宋体" w:eastAsia="楷体_GB2312"/>
          <w:sz w:val="24"/>
        </w:rPr>
        <w:t>具备智能导联脱落监测功能，个别导联脱落的情况下仍能保持监护</w:t>
      </w:r>
    </w:p>
    <w:p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left"/>
        <w:rPr>
          <w:rFonts w:ascii="楷体_GB2312" w:hAnsi="宋体" w:eastAsia="楷体_GB2312"/>
          <w:sz w:val="24"/>
        </w:rPr>
      </w:pPr>
      <w:r>
        <w:rPr>
          <w:rFonts w:hint="eastAsia" w:ascii="楷体_GB2312" w:hAnsi="宋体" w:eastAsia="楷体_GB2312"/>
          <w:sz w:val="24"/>
        </w:rPr>
        <w:t>可显示PI血氧灌注指数，有效反映血氧灌注情况</w:t>
      </w:r>
    </w:p>
    <w:p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left"/>
        <w:rPr>
          <w:rFonts w:ascii="楷体_GB2312" w:hAnsi="宋体" w:eastAsia="楷体_GB2312"/>
          <w:sz w:val="24"/>
        </w:rPr>
      </w:pPr>
      <w:r>
        <w:rPr>
          <w:rFonts w:hint="eastAsia" w:ascii="楷体_GB2312" w:hAnsi="宋体" w:eastAsia="楷体_GB2312"/>
          <w:sz w:val="24"/>
        </w:rPr>
        <w:t>采用专利的抗干扰和弱灌注血氧技术</w:t>
      </w:r>
    </w:p>
    <w:p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left"/>
        <w:rPr>
          <w:rFonts w:ascii="楷体_GB2312" w:hAnsi="宋体" w:eastAsia="楷体_GB2312"/>
          <w:sz w:val="24"/>
        </w:rPr>
      </w:pPr>
      <w:r>
        <w:rPr>
          <w:rFonts w:hint="eastAsia" w:ascii="楷体_GB2312" w:hAnsi="宋体" w:eastAsia="楷体_GB2312"/>
          <w:sz w:val="24"/>
        </w:rPr>
        <w:t>NIBP</w:t>
      </w:r>
      <w:r>
        <w:rPr>
          <w:rFonts w:ascii="楷体_GB2312" w:hAnsi="宋体" w:eastAsia="楷体_GB2312"/>
          <w:sz w:val="24"/>
        </w:rPr>
        <w:t>和BP</w:t>
      </w:r>
      <w:r>
        <w:rPr>
          <w:rFonts w:hint="eastAsia" w:ascii="楷体_GB2312" w:hAnsi="宋体" w:eastAsia="楷体_GB2312"/>
          <w:sz w:val="24"/>
        </w:rPr>
        <w:t>的</w:t>
      </w:r>
      <w:r>
        <w:rPr>
          <w:rFonts w:ascii="楷体_GB2312" w:hAnsi="宋体" w:eastAsia="楷体_GB2312"/>
          <w:sz w:val="24"/>
        </w:rPr>
        <w:t>测量范围</w:t>
      </w:r>
      <w:r>
        <w:rPr>
          <w:rFonts w:hint="eastAsia" w:ascii="楷体_GB2312" w:hAnsi="宋体" w:eastAsia="楷体_GB2312"/>
          <w:sz w:val="24"/>
        </w:rPr>
        <w:t>宽</w:t>
      </w:r>
      <w:r>
        <w:rPr>
          <w:rFonts w:ascii="楷体_GB2312" w:hAnsi="宋体" w:eastAsia="楷体_GB2312"/>
          <w:sz w:val="24"/>
        </w:rPr>
        <w:t>，大大提升</w:t>
      </w:r>
      <w:r>
        <w:rPr>
          <w:rFonts w:hint="eastAsia" w:ascii="楷体_GB2312" w:hAnsi="宋体" w:eastAsia="楷体_GB2312"/>
          <w:sz w:val="24"/>
        </w:rPr>
        <w:t>边界</w:t>
      </w:r>
      <w:r>
        <w:rPr>
          <w:rFonts w:ascii="楷体_GB2312" w:hAnsi="宋体" w:eastAsia="楷体_GB2312"/>
          <w:sz w:val="24"/>
        </w:rPr>
        <w:t>情况的测量准确性</w:t>
      </w:r>
    </w:p>
    <w:p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left"/>
        <w:rPr>
          <w:rFonts w:ascii="楷体_GB2312" w:hAnsi="宋体" w:eastAsia="楷体_GB2312"/>
          <w:sz w:val="24"/>
        </w:rPr>
      </w:pPr>
      <w:r>
        <w:rPr>
          <w:rFonts w:hint="eastAsia" w:ascii="楷体_GB2312" w:hAnsi="宋体" w:eastAsia="楷体_GB2312"/>
          <w:sz w:val="24"/>
        </w:rPr>
        <w:t>成人</w:t>
      </w:r>
      <w:r>
        <w:rPr>
          <w:rFonts w:ascii="楷体_GB2312" w:hAnsi="宋体" w:eastAsia="楷体_GB2312"/>
          <w:sz w:val="24"/>
        </w:rPr>
        <w:t>:sys 25-290 dia 10-250 avr 15-260</w:t>
      </w:r>
    </w:p>
    <w:p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left"/>
        <w:rPr>
          <w:rFonts w:ascii="楷体_GB2312" w:hAnsi="宋体" w:eastAsia="楷体_GB2312"/>
          <w:sz w:val="24"/>
        </w:rPr>
      </w:pPr>
      <w:r>
        <w:rPr>
          <w:rFonts w:hint="eastAsia" w:ascii="楷体_GB2312" w:hAnsi="宋体" w:eastAsia="楷体_GB2312"/>
          <w:sz w:val="24"/>
        </w:rPr>
        <w:t>小儿</w:t>
      </w:r>
      <w:r>
        <w:rPr>
          <w:rFonts w:ascii="楷体_GB2312" w:hAnsi="宋体" w:eastAsia="楷体_GB2312"/>
          <w:sz w:val="24"/>
        </w:rPr>
        <w:t>: sys:25-240 dia:10-200 avr:15-215</w:t>
      </w:r>
    </w:p>
    <w:p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left"/>
        <w:rPr>
          <w:rFonts w:ascii="楷体_GB2312" w:hAnsi="宋体" w:eastAsia="楷体_GB2312"/>
          <w:sz w:val="24"/>
        </w:rPr>
      </w:pPr>
      <w:r>
        <w:rPr>
          <w:rFonts w:hint="eastAsia" w:ascii="楷体_GB2312" w:hAnsi="宋体" w:eastAsia="楷体_GB2312"/>
          <w:sz w:val="24"/>
        </w:rPr>
        <w:t>新生儿</w:t>
      </w:r>
      <w:r>
        <w:rPr>
          <w:rFonts w:ascii="楷体_GB2312" w:hAnsi="宋体" w:eastAsia="楷体_GB2312"/>
          <w:sz w:val="24"/>
        </w:rPr>
        <w:t>: sys:25-140 dia:10-115 avr:15-125</w:t>
      </w:r>
    </w:p>
    <w:p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left"/>
        <w:rPr>
          <w:rFonts w:ascii="楷体_GB2312" w:hAnsi="宋体" w:eastAsia="楷体_GB2312"/>
          <w:sz w:val="24"/>
        </w:rPr>
      </w:pPr>
      <w:r>
        <w:rPr>
          <w:rFonts w:hint="eastAsia" w:ascii="楷体_GB2312" w:hAnsi="宋体" w:eastAsia="楷体_GB2312"/>
          <w:sz w:val="24"/>
        </w:rPr>
        <w:t>支持心率</w:t>
      </w:r>
      <w:r>
        <w:rPr>
          <w:rFonts w:ascii="楷体_GB2312" w:hAnsi="宋体" w:eastAsia="楷体_GB2312"/>
          <w:sz w:val="24"/>
        </w:rPr>
        <w:t>变化统计和动态血压分析</w:t>
      </w:r>
    </w:p>
    <w:p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left"/>
        <w:rPr>
          <w:rFonts w:ascii="楷体_GB2312" w:hAnsi="宋体" w:eastAsia="楷体_GB2312"/>
          <w:sz w:val="24"/>
        </w:rPr>
      </w:pPr>
      <w:r>
        <w:rPr>
          <w:rFonts w:hint="eastAsia" w:ascii="楷体_GB2312" w:hAnsi="宋体" w:eastAsia="楷体_GB2312"/>
          <w:sz w:val="24"/>
        </w:rPr>
        <w:t>系统功能：</w:t>
      </w:r>
    </w:p>
    <w:p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left"/>
        <w:rPr>
          <w:rFonts w:ascii="楷体_GB2312" w:hAnsi="宋体" w:eastAsia="楷体_GB2312"/>
          <w:sz w:val="24"/>
        </w:rPr>
      </w:pPr>
      <w:r>
        <w:rPr>
          <w:rFonts w:hint="eastAsia" w:ascii="楷体_GB2312" w:hAnsi="宋体" w:eastAsia="楷体_GB2312"/>
          <w:sz w:val="24"/>
        </w:rPr>
        <w:t>支持中/英文字符和</w:t>
      </w:r>
      <w:r>
        <w:rPr>
          <w:rFonts w:ascii="楷体_GB2312" w:hAnsi="宋体" w:eastAsia="楷体_GB2312"/>
          <w:sz w:val="24"/>
        </w:rPr>
        <w:t>条码扫描枪</w:t>
      </w:r>
      <w:r>
        <w:rPr>
          <w:rFonts w:hint="eastAsia" w:ascii="楷体_GB2312" w:hAnsi="宋体" w:eastAsia="楷体_GB2312"/>
          <w:sz w:val="24"/>
        </w:rPr>
        <w:t>输入</w:t>
      </w:r>
    </w:p>
    <w:p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left"/>
        <w:rPr>
          <w:rFonts w:ascii="楷体_GB2312" w:hAnsi="宋体" w:eastAsia="楷体_GB2312"/>
          <w:sz w:val="24"/>
        </w:rPr>
      </w:pPr>
      <w:r>
        <w:rPr>
          <w:rFonts w:hint="eastAsia" w:ascii="楷体_GB2312" w:hAnsi="宋体" w:eastAsia="楷体_GB2312"/>
          <w:sz w:val="24"/>
        </w:rPr>
        <w:t>具有至少三级声光报警，参数报警级别可调</w:t>
      </w:r>
    </w:p>
    <w:p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left"/>
        <w:rPr>
          <w:rFonts w:ascii="楷体_GB2312" w:hAnsi="宋体" w:eastAsia="楷体_GB2312"/>
          <w:sz w:val="24"/>
        </w:rPr>
      </w:pPr>
      <w:r>
        <w:rPr>
          <w:rFonts w:hint="eastAsia" w:ascii="楷体_GB2312" w:hAnsi="宋体" w:eastAsia="楷体_GB2312"/>
          <w:sz w:val="24"/>
        </w:rPr>
        <w:t>具备报警集中设置功能</w:t>
      </w:r>
    </w:p>
    <w:p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left"/>
        <w:rPr>
          <w:rFonts w:ascii="楷体_GB2312" w:hAnsi="宋体" w:eastAsia="楷体_GB2312"/>
          <w:sz w:val="24"/>
        </w:rPr>
      </w:pPr>
      <w:r>
        <w:rPr>
          <w:rFonts w:hint="eastAsia" w:ascii="楷体_GB2312" w:hAnsi="宋体" w:eastAsia="楷体_GB2312"/>
          <w:sz w:val="24"/>
        </w:rPr>
        <w:t>具备血液动力学、药物计算功能</w:t>
      </w:r>
    </w:p>
    <w:p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left"/>
        <w:rPr>
          <w:rFonts w:ascii="楷体_GB2312" w:hAnsi="宋体" w:eastAsia="楷体_GB2312"/>
          <w:sz w:val="24"/>
        </w:rPr>
      </w:pPr>
      <w:r>
        <w:rPr>
          <w:rFonts w:hint="eastAsia" w:ascii="楷体_GB2312" w:hAnsi="宋体" w:eastAsia="楷体_GB2312"/>
          <w:sz w:val="24"/>
        </w:rPr>
        <w:t>可选内置</w:t>
      </w:r>
      <w:r>
        <w:rPr>
          <w:rFonts w:ascii="楷体_GB2312" w:hAnsi="宋体" w:eastAsia="楷体_GB2312"/>
          <w:sz w:val="24"/>
        </w:rPr>
        <w:t>存储卡，也支持外部USB存储</w:t>
      </w:r>
      <w:r>
        <w:rPr>
          <w:rFonts w:hint="eastAsia" w:ascii="楷体_GB2312" w:hAnsi="宋体" w:eastAsia="楷体_GB2312"/>
          <w:sz w:val="24"/>
        </w:rPr>
        <w:t>设备</w:t>
      </w:r>
      <w:r>
        <w:rPr>
          <w:rFonts w:ascii="楷体_GB2312" w:hAnsi="宋体" w:eastAsia="楷体_GB2312"/>
          <w:sz w:val="24"/>
        </w:rPr>
        <w:t>，支持</w:t>
      </w:r>
      <w:r>
        <w:rPr>
          <w:rFonts w:hint="eastAsia" w:ascii="楷体_GB2312" w:hAnsi="宋体" w:eastAsia="楷体_GB2312"/>
          <w:sz w:val="24"/>
        </w:rPr>
        <w:t>掉电存储和</w:t>
      </w:r>
      <w:r>
        <w:rPr>
          <w:rFonts w:ascii="楷体_GB2312" w:hAnsi="宋体" w:eastAsia="楷体_GB2312"/>
          <w:sz w:val="24"/>
        </w:rPr>
        <w:t>U</w:t>
      </w:r>
      <w:r>
        <w:rPr>
          <w:rFonts w:hint="eastAsia" w:ascii="楷体_GB2312" w:hAnsi="宋体" w:eastAsia="楷体_GB2312"/>
          <w:sz w:val="24"/>
        </w:rPr>
        <w:t>盘</w:t>
      </w:r>
      <w:r>
        <w:rPr>
          <w:rFonts w:ascii="楷体_GB2312" w:hAnsi="宋体" w:eastAsia="楷体_GB2312"/>
          <w:sz w:val="24"/>
        </w:rPr>
        <w:t>数据导入导出</w:t>
      </w:r>
      <w:r>
        <w:rPr>
          <w:rFonts w:hint="eastAsia" w:ascii="楷体_GB2312" w:hAnsi="宋体" w:eastAsia="楷体_GB2312"/>
          <w:sz w:val="24"/>
        </w:rPr>
        <w:t>功能</w:t>
      </w:r>
    </w:p>
    <w:p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left"/>
        <w:rPr>
          <w:rFonts w:ascii="楷体_GB2312" w:hAnsi="宋体" w:eastAsia="楷体_GB2312"/>
          <w:sz w:val="24"/>
        </w:rPr>
      </w:pPr>
      <w:r>
        <w:rPr>
          <w:rFonts w:hint="eastAsia" w:ascii="楷体_GB2312" w:hAnsi="宋体" w:eastAsia="楷体_GB2312"/>
          <w:sz w:val="24"/>
        </w:rPr>
        <w:t>具备Nurse Call报警功能</w:t>
      </w:r>
    </w:p>
    <w:p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left"/>
        <w:rPr>
          <w:rFonts w:ascii="楷体_GB2312" w:hAnsi="宋体" w:eastAsia="楷体_GB2312"/>
          <w:sz w:val="24"/>
        </w:rPr>
      </w:pPr>
      <w:r>
        <w:rPr>
          <w:rFonts w:hint="eastAsia" w:ascii="楷体_GB2312" w:hAnsi="宋体" w:eastAsia="楷体_GB2312"/>
          <w:sz w:val="24"/>
        </w:rPr>
        <w:t>支持VGA</w:t>
      </w:r>
      <w:r>
        <w:rPr>
          <w:rFonts w:ascii="楷体_GB2312" w:hAnsi="宋体" w:eastAsia="楷体_GB2312"/>
          <w:sz w:val="24"/>
        </w:rPr>
        <w:t>外接拓展显示屏</w:t>
      </w:r>
    </w:p>
    <w:p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left"/>
        <w:rPr>
          <w:rFonts w:ascii="楷体_GB2312" w:hAnsi="宋体" w:eastAsia="楷体_GB2312"/>
          <w:sz w:val="24"/>
        </w:rPr>
      </w:pPr>
      <w:r>
        <w:rPr>
          <w:rFonts w:hint="eastAsia" w:ascii="楷体_GB2312" w:hAnsi="宋体" w:eastAsia="楷体_GB2312"/>
          <w:sz w:val="24"/>
        </w:rPr>
        <w:t>具备≥120</w:t>
      </w:r>
      <w:r>
        <w:rPr>
          <w:rFonts w:ascii="楷体_GB2312" w:hAnsi="宋体" w:eastAsia="楷体_GB2312"/>
          <w:sz w:val="24"/>
        </w:rPr>
        <w:t>0</w:t>
      </w:r>
      <w:r>
        <w:rPr>
          <w:rFonts w:hint="eastAsia" w:ascii="楷体_GB2312" w:hAnsi="宋体" w:eastAsia="楷体_GB2312"/>
          <w:sz w:val="24"/>
        </w:rPr>
        <w:t>小时趋势图表、≥1</w:t>
      </w:r>
      <w:r>
        <w:rPr>
          <w:rFonts w:ascii="楷体_GB2312" w:hAnsi="宋体" w:eastAsia="楷体_GB2312"/>
          <w:sz w:val="24"/>
        </w:rPr>
        <w:t>8</w:t>
      </w:r>
      <w:r>
        <w:rPr>
          <w:rFonts w:hint="eastAsia" w:ascii="楷体_GB2312" w:hAnsi="宋体" w:eastAsia="楷体_GB2312"/>
          <w:sz w:val="24"/>
        </w:rPr>
        <w:t>00个报警事件、≥1</w:t>
      </w:r>
      <w:r>
        <w:rPr>
          <w:rFonts w:ascii="楷体_GB2312" w:hAnsi="宋体" w:eastAsia="楷体_GB2312"/>
          <w:sz w:val="24"/>
        </w:rPr>
        <w:t>6</w:t>
      </w:r>
      <w:r>
        <w:rPr>
          <w:rFonts w:hint="eastAsia" w:ascii="楷体_GB2312" w:hAnsi="宋体" w:eastAsia="楷体_GB2312"/>
          <w:sz w:val="24"/>
        </w:rPr>
        <w:t>00组NIBP测量的数据存储和回顾功能,≥48小时全息波形回顾.</w:t>
      </w:r>
    </w:p>
    <w:p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left"/>
        <w:rPr>
          <w:rFonts w:ascii="楷体_GB2312" w:hAnsi="宋体" w:eastAsia="楷体_GB2312"/>
          <w:sz w:val="24"/>
        </w:rPr>
      </w:pPr>
      <w:r>
        <w:rPr>
          <w:rFonts w:hint="eastAsia" w:ascii="楷体_GB2312" w:hAnsi="宋体" w:eastAsia="楷体_GB2312"/>
          <w:sz w:val="24"/>
        </w:rPr>
        <w:t>具备趋势共存界面、呼吸氧合图界面，大字体显示界面，及标准显示界面等多种显示界面</w:t>
      </w:r>
    </w:p>
    <w:p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left"/>
        <w:rPr>
          <w:rFonts w:ascii="楷体_GB2312" w:hAnsi="宋体" w:eastAsia="楷体_GB2312"/>
          <w:sz w:val="24"/>
        </w:rPr>
      </w:pPr>
      <w:r>
        <w:rPr>
          <w:rFonts w:hint="eastAsia" w:ascii="楷体_GB2312" w:hAnsi="宋体" w:eastAsia="楷体_GB2312"/>
          <w:sz w:val="24"/>
        </w:rPr>
        <w:t>具备成人、小儿、新生儿三种病人配置，支持U盘导入导出配置</w:t>
      </w:r>
    </w:p>
    <w:p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left"/>
        <w:rPr>
          <w:rFonts w:ascii="楷体_GB2312" w:hAnsi="宋体" w:eastAsia="楷体_GB2312"/>
          <w:sz w:val="24"/>
        </w:rPr>
      </w:pPr>
      <w:r>
        <w:rPr>
          <w:rFonts w:hint="eastAsia" w:ascii="楷体_GB2312" w:hAnsi="宋体" w:eastAsia="楷体_GB2312"/>
          <w:sz w:val="24"/>
        </w:rPr>
        <w:t>标配普通</w:t>
      </w:r>
      <w:r>
        <w:rPr>
          <w:rFonts w:ascii="楷体_GB2312" w:hAnsi="宋体" w:eastAsia="楷体_GB2312"/>
          <w:sz w:val="24"/>
        </w:rPr>
        <w:t>锂电池，工作时间</w:t>
      </w:r>
      <w:r>
        <w:rPr>
          <w:rFonts w:hint="eastAsia" w:ascii="楷体_GB2312" w:hAnsi="宋体" w:eastAsia="楷体_GB2312"/>
          <w:sz w:val="24"/>
        </w:rPr>
        <w:t>≥4小时</w:t>
      </w:r>
      <w:r>
        <w:rPr>
          <w:rFonts w:ascii="楷体_GB2312" w:hAnsi="宋体" w:eastAsia="楷体_GB2312"/>
          <w:sz w:val="24"/>
        </w:rPr>
        <w:t>；</w:t>
      </w:r>
      <w:r>
        <w:rPr>
          <w:rFonts w:hint="eastAsia" w:ascii="楷体_GB2312" w:hAnsi="宋体" w:eastAsia="楷体_GB2312"/>
          <w:sz w:val="24"/>
        </w:rPr>
        <w:t>可选配高容量锂电池，工作时间≥8小时</w:t>
      </w:r>
    </w:p>
    <w:p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left"/>
        <w:rPr>
          <w:rFonts w:ascii="楷体_GB2312" w:hAnsi="宋体" w:eastAsia="楷体_GB2312"/>
          <w:sz w:val="24"/>
        </w:rPr>
      </w:pPr>
      <w:r>
        <w:rPr>
          <w:rFonts w:hint="eastAsia" w:ascii="楷体_GB2312" w:hAnsi="宋体" w:eastAsia="楷体_GB2312"/>
          <w:sz w:val="24"/>
        </w:rPr>
        <w:t>支持≥3通道记录仪</w:t>
      </w:r>
    </w:p>
    <w:p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left"/>
        <w:rPr>
          <w:rFonts w:ascii="楷体_GB2312" w:hAnsi="宋体" w:eastAsia="楷体_GB2312"/>
          <w:sz w:val="24"/>
        </w:rPr>
      </w:pPr>
      <w:r>
        <w:rPr>
          <w:rFonts w:hint="eastAsia" w:ascii="楷体_GB2312" w:hAnsi="宋体" w:eastAsia="楷体_GB2312"/>
          <w:sz w:val="24"/>
        </w:rPr>
        <w:t>整机无风扇设计，降低环境噪音干扰</w:t>
      </w:r>
    </w:p>
    <w:p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left"/>
        <w:rPr>
          <w:rFonts w:ascii="楷体_GB2312" w:hAnsi="宋体" w:eastAsia="楷体_GB2312"/>
          <w:sz w:val="24"/>
        </w:rPr>
      </w:pPr>
      <w:r>
        <w:rPr>
          <w:rFonts w:hint="eastAsia" w:ascii="楷体_GB2312" w:hAnsi="宋体" w:eastAsia="楷体_GB2312"/>
          <w:sz w:val="24"/>
        </w:rPr>
        <w:t>支持</w:t>
      </w:r>
      <w:r>
        <w:rPr>
          <w:rFonts w:ascii="楷体_GB2312" w:hAnsi="宋体" w:eastAsia="楷体_GB2312"/>
          <w:sz w:val="24"/>
        </w:rPr>
        <w:t>附件收纳盒设计，让床旁附件管理更有序</w:t>
      </w:r>
      <w:r>
        <w:rPr>
          <w:rFonts w:hint="eastAsia" w:ascii="楷体_GB2312" w:hAnsi="宋体" w:eastAsia="楷体_GB2312"/>
          <w:sz w:val="24"/>
        </w:rPr>
        <w:t>、</w:t>
      </w:r>
      <w:r>
        <w:rPr>
          <w:rFonts w:ascii="楷体_GB2312" w:hAnsi="宋体" w:eastAsia="楷体_GB2312"/>
          <w:sz w:val="24"/>
        </w:rPr>
        <w:t>更高效</w:t>
      </w:r>
    </w:p>
    <w:p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left"/>
        <w:rPr>
          <w:rFonts w:ascii="楷体_GB2312" w:hAnsi="宋体" w:eastAsia="楷体_GB2312"/>
          <w:sz w:val="24"/>
        </w:rPr>
      </w:pPr>
      <w:r>
        <w:rPr>
          <w:rFonts w:hint="eastAsia" w:ascii="楷体_GB2312" w:hAnsi="宋体" w:eastAsia="楷体_GB2312"/>
          <w:sz w:val="24"/>
        </w:rPr>
        <w:t>防水等级≥IPX1标准</w:t>
      </w:r>
    </w:p>
    <w:p>
      <w:pPr>
        <w:spacing w:line="360" w:lineRule="auto"/>
        <w:rPr>
          <w:rFonts w:ascii="黑体" w:hAnsi="宋体" w:eastAsia="黑体"/>
          <w:sz w:val="24"/>
        </w:rPr>
      </w:pPr>
    </w:p>
    <w:p>
      <w:pPr>
        <w:spacing w:line="360" w:lineRule="auto"/>
        <w:rPr>
          <w:rFonts w:ascii="楷体_GB2312" w:hAnsi="宋体" w:eastAsia="楷体_GB2312"/>
          <w:sz w:val="24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A3A5A4B"/>
    <w:multiLevelType w:val="multilevel"/>
    <w:tmpl w:val="4A3A5A4B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hint="default" w:ascii="Wingdings" w:hAnsi="Wingdings"/>
      </w:rPr>
    </w:lvl>
  </w:abstractNum>
  <w:num w:numId="1">
    <w:abstractNumId w:val="0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DUyZWZhNDVkOTFkNzQyZWNhYmRlNjAxOWE3M2E2NjgifQ=="/>
  </w:docVars>
  <w:rsids>
    <w:rsidRoot w:val="00815577"/>
    <w:rsid w:val="00002517"/>
    <w:rsid w:val="00003C0C"/>
    <w:rsid w:val="00004315"/>
    <w:rsid w:val="00006D5C"/>
    <w:rsid w:val="00010C7F"/>
    <w:rsid w:val="00011F16"/>
    <w:rsid w:val="000200E3"/>
    <w:rsid w:val="00023368"/>
    <w:rsid w:val="000343CA"/>
    <w:rsid w:val="000403E2"/>
    <w:rsid w:val="0004658F"/>
    <w:rsid w:val="00081F82"/>
    <w:rsid w:val="000830BB"/>
    <w:rsid w:val="00090D6F"/>
    <w:rsid w:val="00095D8A"/>
    <w:rsid w:val="000B2683"/>
    <w:rsid w:val="000B6471"/>
    <w:rsid w:val="000B71EB"/>
    <w:rsid w:val="000D2996"/>
    <w:rsid w:val="000D5C71"/>
    <w:rsid w:val="000E20D0"/>
    <w:rsid w:val="000E6479"/>
    <w:rsid w:val="000F119A"/>
    <w:rsid w:val="000F1DFC"/>
    <w:rsid w:val="00112F4D"/>
    <w:rsid w:val="00122F69"/>
    <w:rsid w:val="0012705C"/>
    <w:rsid w:val="00143CB8"/>
    <w:rsid w:val="001451AF"/>
    <w:rsid w:val="0014649F"/>
    <w:rsid w:val="00163C8C"/>
    <w:rsid w:val="00172203"/>
    <w:rsid w:val="00186F02"/>
    <w:rsid w:val="001A43C1"/>
    <w:rsid w:val="001A4B89"/>
    <w:rsid w:val="001B0FBB"/>
    <w:rsid w:val="001B3338"/>
    <w:rsid w:val="001B3C40"/>
    <w:rsid w:val="001E6437"/>
    <w:rsid w:val="00213997"/>
    <w:rsid w:val="00225226"/>
    <w:rsid w:val="00225A37"/>
    <w:rsid w:val="0022657C"/>
    <w:rsid w:val="002279B2"/>
    <w:rsid w:val="00231878"/>
    <w:rsid w:val="00247D09"/>
    <w:rsid w:val="00256B15"/>
    <w:rsid w:val="00262E66"/>
    <w:rsid w:val="0026494C"/>
    <w:rsid w:val="00266F49"/>
    <w:rsid w:val="00273964"/>
    <w:rsid w:val="002744C9"/>
    <w:rsid w:val="002774C7"/>
    <w:rsid w:val="00277A56"/>
    <w:rsid w:val="00280D4B"/>
    <w:rsid w:val="00286312"/>
    <w:rsid w:val="00290835"/>
    <w:rsid w:val="00293AFE"/>
    <w:rsid w:val="002A4F4B"/>
    <w:rsid w:val="002C6B49"/>
    <w:rsid w:val="002D446C"/>
    <w:rsid w:val="002E2D70"/>
    <w:rsid w:val="002F3D57"/>
    <w:rsid w:val="002F4319"/>
    <w:rsid w:val="002F74D6"/>
    <w:rsid w:val="00306142"/>
    <w:rsid w:val="00324F84"/>
    <w:rsid w:val="0033658C"/>
    <w:rsid w:val="00351504"/>
    <w:rsid w:val="00353B4E"/>
    <w:rsid w:val="00357D11"/>
    <w:rsid w:val="00362092"/>
    <w:rsid w:val="003705F5"/>
    <w:rsid w:val="003764DB"/>
    <w:rsid w:val="00390DFF"/>
    <w:rsid w:val="003920F5"/>
    <w:rsid w:val="00392648"/>
    <w:rsid w:val="00392B8B"/>
    <w:rsid w:val="003C13AD"/>
    <w:rsid w:val="003D0B04"/>
    <w:rsid w:val="003D4494"/>
    <w:rsid w:val="003D4D80"/>
    <w:rsid w:val="003E4C45"/>
    <w:rsid w:val="00403EEA"/>
    <w:rsid w:val="00420E94"/>
    <w:rsid w:val="0042433B"/>
    <w:rsid w:val="00425787"/>
    <w:rsid w:val="00431D86"/>
    <w:rsid w:val="00435949"/>
    <w:rsid w:val="0045172A"/>
    <w:rsid w:val="00456893"/>
    <w:rsid w:val="00457A15"/>
    <w:rsid w:val="00460D96"/>
    <w:rsid w:val="004677D7"/>
    <w:rsid w:val="00497133"/>
    <w:rsid w:val="004A2D06"/>
    <w:rsid w:val="004A6164"/>
    <w:rsid w:val="004C6A68"/>
    <w:rsid w:val="004C6D5D"/>
    <w:rsid w:val="004E1840"/>
    <w:rsid w:val="00503D8E"/>
    <w:rsid w:val="0050541F"/>
    <w:rsid w:val="00510A06"/>
    <w:rsid w:val="00513BD9"/>
    <w:rsid w:val="005223C9"/>
    <w:rsid w:val="00526C20"/>
    <w:rsid w:val="00530997"/>
    <w:rsid w:val="005444D5"/>
    <w:rsid w:val="00551D80"/>
    <w:rsid w:val="00551F55"/>
    <w:rsid w:val="005548D8"/>
    <w:rsid w:val="0056256B"/>
    <w:rsid w:val="00563C63"/>
    <w:rsid w:val="0056648B"/>
    <w:rsid w:val="0058007D"/>
    <w:rsid w:val="0058476E"/>
    <w:rsid w:val="005858B2"/>
    <w:rsid w:val="00592C10"/>
    <w:rsid w:val="00597ACF"/>
    <w:rsid w:val="005A09A3"/>
    <w:rsid w:val="005A11C0"/>
    <w:rsid w:val="005B0215"/>
    <w:rsid w:val="005C0BCB"/>
    <w:rsid w:val="005C2F77"/>
    <w:rsid w:val="005D4C7D"/>
    <w:rsid w:val="005E0A86"/>
    <w:rsid w:val="005E1A3C"/>
    <w:rsid w:val="005E2492"/>
    <w:rsid w:val="005F1116"/>
    <w:rsid w:val="005F3031"/>
    <w:rsid w:val="005F4318"/>
    <w:rsid w:val="005F5B8F"/>
    <w:rsid w:val="006028B2"/>
    <w:rsid w:val="00606142"/>
    <w:rsid w:val="006178EF"/>
    <w:rsid w:val="006233F3"/>
    <w:rsid w:val="0062787B"/>
    <w:rsid w:val="00633B61"/>
    <w:rsid w:val="00641169"/>
    <w:rsid w:val="00643FDB"/>
    <w:rsid w:val="006513EF"/>
    <w:rsid w:val="00657D30"/>
    <w:rsid w:val="00667BB0"/>
    <w:rsid w:val="00694C43"/>
    <w:rsid w:val="006A1061"/>
    <w:rsid w:val="006B0989"/>
    <w:rsid w:val="006B166E"/>
    <w:rsid w:val="006B2FBF"/>
    <w:rsid w:val="006C0F46"/>
    <w:rsid w:val="006C5F15"/>
    <w:rsid w:val="006D0C10"/>
    <w:rsid w:val="006D6FF0"/>
    <w:rsid w:val="006F787C"/>
    <w:rsid w:val="0071039A"/>
    <w:rsid w:val="00712E34"/>
    <w:rsid w:val="00720632"/>
    <w:rsid w:val="00721CB2"/>
    <w:rsid w:val="007221E2"/>
    <w:rsid w:val="00736520"/>
    <w:rsid w:val="00743384"/>
    <w:rsid w:val="00744C23"/>
    <w:rsid w:val="00746A5A"/>
    <w:rsid w:val="00751582"/>
    <w:rsid w:val="007553A4"/>
    <w:rsid w:val="007608C3"/>
    <w:rsid w:val="007714AA"/>
    <w:rsid w:val="007718A9"/>
    <w:rsid w:val="007845DB"/>
    <w:rsid w:val="00797F46"/>
    <w:rsid w:val="007A5C11"/>
    <w:rsid w:val="007A66E6"/>
    <w:rsid w:val="007B0E69"/>
    <w:rsid w:val="007B144A"/>
    <w:rsid w:val="007B7D49"/>
    <w:rsid w:val="007C2F37"/>
    <w:rsid w:val="007D5090"/>
    <w:rsid w:val="007E7D5C"/>
    <w:rsid w:val="007F2444"/>
    <w:rsid w:val="0081076E"/>
    <w:rsid w:val="00815577"/>
    <w:rsid w:val="008163D6"/>
    <w:rsid w:val="00846FBD"/>
    <w:rsid w:val="00870047"/>
    <w:rsid w:val="00884EA1"/>
    <w:rsid w:val="00893D94"/>
    <w:rsid w:val="00894CA4"/>
    <w:rsid w:val="008A3821"/>
    <w:rsid w:val="008A3FB6"/>
    <w:rsid w:val="008A625F"/>
    <w:rsid w:val="008B24A3"/>
    <w:rsid w:val="008B3958"/>
    <w:rsid w:val="008C3013"/>
    <w:rsid w:val="008C4022"/>
    <w:rsid w:val="008E0341"/>
    <w:rsid w:val="008F1A9F"/>
    <w:rsid w:val="008F58A8"/>
    <w:rsid w:val="00903C8F"/>
    <w:rsid w:val="00937AB6"/>
    <w:rsid w:val="00943C7E"/>
    <w:rsid w:val="00955216"/>
    <w:rsid w:val="009566FE"/>
    <w:rsid w:val="009577CE"/>
    <w:rsid w:val="00962641"/>
    <w:rsid w:val="00970676"/>
    <w:rsid w:val="00977F24"/>
    <w:rsid w:val="00981433"/>
    <w:rsid w:val="009817BB"/>
    <w:rsid w:val="00994137"/>
    <w:rsid w:val="009A1D9D"/>
    <w:rsid w:val="009B099C"/>
    <w:rsid w:val="009B0E62"/>
    <w:rsid w:val="009B1285"/>
    <w:rsid w:val="009B6F31"/>
    <w:rsid w:val="009C7A5F"/>
    <w:rsid w:val="009D1B85"/>
    <w:rsid w:val="009D5B75"/>
    <w:rsid w:val="009D5E34"/>
    <w:rsid w:val="009E29D1"/>
    <w:rsid w:val="00A066CE"/>
    <w:rsid w:val="00A164BF"/>
    <w:rsid w:val="00A20E6B"/>
    <w:rsid w:val="00A30FE8"/>
    <w:rsid w:val="00A32E45"/>
    <w:rsid w:val="00A339B1"/>
    <w:rsid w:val="00A44870"/>
    <w:rsid w:val="00A4738E"/>
    <w:rsid w:val="00A4796E"/>
    <w:rsid w:val="00A521E9"/>
    <w:rsid w:val="00A776A4"/>
    <w:rsid w:val="00A84AB8"/>
    <w:rsid w:val="00A87C01"/>
    <w:rsid w:val="00AA7798"/>
    <w:rsid w:val="00AB00C3"/>
    <w:rsid w:val="00AB2D06"/>
    <w:rsid w:val="00AB61DA"/>
    <w:rsid w:val="00AC0102"/>
    <w:rsid w:val="00AD6B9A"/>
    <w:rsid w:val="00AE2902"/>
    <w:rsid w:val="00AF6C3B"/>
    <w:rsid w:val="00AF6DE2"/>
    <w:rsid w:val="00B01D7D"/>
    <w:rsid w:val="00B068EC"/>
    <w:rsid w:val="00B1436C"/>
    <w:rsid w:val="00B17092"/>
    <w:rsid w:val="00B33F2D"/>
    <w:rsid w:val="00B440F8"/>
    <w:rsid w:val="00B56A34"/>
    <w:rsid w:val="00B7013B"/>
    <w:rsid w:val="00B7025C"/>
    <w:rsid w:val="00B7288A"/>
    <w:rsid w:val="00B73D6D"/>
    <w:rsid w:val="00B8346C"/>
    <w:rsid w:val="00B911EB"/>
    <w:rsid w:val="00B956F1"/>
    <w:rsid w:val="00B97FA1"/>
    <w:rsid w:val="00BA3241"/>
    <w:rsid w:val="00BB143D"/>
    <w:rsid w:val="00BB3D1D"/>
    <w:rsid w:val="00BC0840"/>
    <w:rsid w:val="00BC2066"/>
    <w:rsid w:val="00BC2564"/>
    <w:rsid w:val="00BC30DD"/>
    <w:rsid w:val="00BC4C87"/>
    <w:rsid w:val="00BC52A1"/>
    <w:rsid w:val="00BD20A2"/>
    <w:rsid w:val="00BD35A4"/>
    <w:rsid w:val="00BD7AA3"/>
    <w:rsid w:val="00BF1013"/>
    <w:rsid w:val="00C0472A"/>
    <w:rsid w:val="00C15E9C"/>
    <w:rsid w:val="00C23F43"/>
    <w:rsid w:val="00C24C46"/>
    <w:rsid w:val="00C25048"/>
    <w:rsid w:val="00C3243D"/>
    <w:rsid w:val="00C3502B"/>
    <w:rsid w:val="00C5068F"/>
    <w:rsid w:val="00C5528A"/>
    <w:rsid w:val="00C567BA"/>
    <w:rsid w:val="00C63469"/>
    <w:rsid w:val="00C77BA9"/>
    <w:rsid w:val="00CA2010"/>
    <w:rsid w:val="00CA2EF2"/>
    <w:rsid w:val="00CA4D45"/>
    <w:rsid w:val="00CA78FB"/>
    <w:rsid w:val="00CB2D13"/>
    <w:rsid w:val="00CB2E95"/>
    <w:rsid w:val="00CC2D14"/>
    <w:rsid w:val="00CC6104"/>
    <w:rsid w:val="00CD595D"/>
    <w:rsid w:val="00CD7B29"/>
    <w:rsid w:val="00CE41B9"/>
    <w:rsid w:val="00CE4836"/>
    <w:rsid w:val="00CE7656"/>
    <w:rsid w:val="00D00B76"/>
    <w:rsid w:val="00D039F5"/>
    <w:rsid w:val="00D119A3"/>
    <w:rsid w:val="00D124A5"/>
    <w:rsid w:val="00D15484"/>
    <w:rsid w:val="00D15D7D"/>
    <w:rsid w:val="00D173A8"/>
    <w:rsid w:val="00D436E1"/>
    <w:rsid w:val="00D55D27"/>
    <w:rsid w:val="00D57FF0"/>
    <w:rsid w:val="00D641D9"/>
    <w:rsid w:val="00D72627"/>
    <w:rsid w:val="00D7412B"/>
    <w:rsid w:val="00D82E85"/>
    <w:rsid w:val="00D91A85"/>
    <w:rsid w:val="00DA1D85"/>
    <w:rsid w:val="00DA2312"/>
    <w:rsid w:val="00DB22EE"/>
    <w:rsid w:val="00DB2F05"/>
    <w:rsid w:val="00DB4033"/>
    <w:rsid w:val="00DC0C8E"/>
    <w:rsid w:val="00DC11FD"/>
    <w:rsid w:val="00DC6CAD"/>
    <w:rsid w:val="00DC6F5C"/>
    <w:rsid w:val="00DD2BC3"/>
    <w:rsid w:val="00DD4C27"/>
    <w:rsid w:val="00DE08E1"/>
    <w:rsid w:val="00DE66DC"/>
    <w:rsid w:val="00DE7C2D"/>
    <w:rsid w:val="00E10D6A"/>
    <w:rsid w:val="00E13AE4"/>
    <w:rsid w:val="00E23F24"/>
    <w:rsid w:val="00E2624B"/>
    <w:rsid w:val="00E73677"/>
    <w:rsid w:val="00E778BD"/>
    <w:rsid w:val="00E83CE7"/>
    <w:rsid w:val="00E87CA0"/>
    <w:rsid w:val="00E94042"/>
    <w:rsid w:val="00EA2E23"/>
    <w:rsid w:val="00EA7D06"/>
    <w:rsid w:val="00EB4FC8"/>
    <w:rsid w:val="00EB7EAC"/>
    <w:rsid w:val="00EC6A86"/>
    <w:rsid w:val="00ED264F"/>
    <w:rsid w:val="00ED7CA8"/>
    <w:rsid w:val="00EE18EC"/>
    <w:rsid w:val="00EF4345"/>
    <w:rsid w:val="00F018D3"/>
    <w:rsid w:val="00F13689"/>
    <w:rsid w:val="00F32940"/>
    <w:rsid w:val="00F32B2C"/>
    <w:rsid w:val="00F32E14"/>
    <w:rsid w:val="00F35018"/>
    <w:rsid w:val="00F50F41"/>
    <w:rsid w:val="00F6009F"/>
    <w:rsid w:val="00F66AE5"/>
    <w:rsid w:val="00F828FA"/>
    <w:rsid w:val="00F92CC9"/>
    <w:rsid w:val="00FA5E61"/>
    <w:rsid w:val="00FC2981"/>
    <w:rsid w:val="00FC6FDF"/>
    <w:rsid w:val="00FD31C2"/>
    <w:rsid w:val="00FD7601"/>
    <w:rsid w:val="00FD7C89"/>
    <w:rsid w:val="00FE1214"/>
    <w:rsid w:val="00FE482F"/>
    <w:rsid w:val="00FE7BBA"/>
    <w:rsid w:val="00FF2E36"/>
    <w:rsid w:val="00FF4387"/>
    <w:rsid w:val="00FF48DA"/>
    <w:rsid w:val="00FF504C"/>
    <w:rsid w:val="22DA4919"/>
    <w:rsid w:val="7AB754C8"/>
    <w:rsid w:val="7FF3723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iPriority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1"/>
    <w:unhideWhenUsed/>
    <w:uiPriority w:val="0"/>
    <w:pPr>
      <w:jc w:val="left"/>
    </w:pPr>
  </w:style>
  <w:style w:type="paragraph" w:styleId="4">
    <w:name w:val="Balloon Text"/>
    <w:basedOn w:val="1"/>
    <w:semiHidden/>
    <w:uiPriority w:val="0"/>
    <w:rPr>
      <w:sz w:val="18"/>
      <w:szCs w:val="18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3"/>
    <w:next w:val="3"/>
    <w:semiHidden/>
    <w:uiPriority w:val="0"/>
    <w:rPr>
      <w:b/>
      <w:bCs/>
    </w:rPr>
  </w:style>
  <w:style w:type="character" w:styleId="10">
    <w:name w:val="annotation reference"/>
    <w:semiHidden/>
    <w:unhideWhenUsed/>
    <w:uiPriority w:val="0"/>
    <w:rPr>
      <w:sz w:val="21"/>
      <w:szCs w:val="21"/>
    </w:rPr>
  </w:style>
  <w:style w:type="character" w:customStyle="1" w:styleId="11">
    <w:name w:val="批注文字 Char"/>
    <w:link w:val="3"/>
    <w:uiPriority w:val="0"/>
    <w:rPr>
      <w:rFonts w:eastAsia="宋体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Mindray</Company>
  <Pages>2</Pages>
  <Words>622</Words>
  <Characters>753</Characters>
  <Lines>5</Lines>
  <Paragraphs>1</Paragraphs>
  <TotalTime>1</TotalTime>
  <ScaleCrop>false</ScaleCrop>
  <LinksUpToDate>false</LinksUpToDate>
  <CharactersWithSpaces>765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2016-05-08T05:23:00Z</dcterms:created>
  <dc:creator>Administrator</dc:creator>
  <cp:lastModifiedBy>Administrator</cp:lastModifiedBy>
  <dcterms:modified xsi:type="dcterms:W3CDTF">2022-12-11T07:28:27Z</dcterms:modified>
  <dc:title>T8招标参数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7BBBE909644E4C7A9AEAAEFE21349EE5</vt:lpwstr>
  </property>
</Properties>
</file>