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3"/>
        <w:rPr>
          <w:rFonts w:ascii="宋体" w:hAnsi="宋体" w:eastAsia="宋体" w:cs="宋体"/>
          <w:b/>
          <w:bCs/>
          <w:sz w:val="32"/>
          <w:szCs w:val="32"/>
        </w:rPr>
      </w:pPr>
      <w:r>
        <w:rPr>
          <w:rFonts w:hint="eastAsia" w:ascii="宋体" w:hAnsi="宋体" w:eastAsia="宋体" w:cs="宋体"/>
          <w:b/>
          <w:bCs/>
          <w:sz w:val="32"/>
          <w:szCs w:val="32"/>
        </w:rPr>
        <w:t>数字心电图机技术参数</w:t>
      </w:r>
      <w:bookmarkStart w:id="0" w:name="_GoBack"/>
      <w:bookmarkEnd w:id="0"/>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导联模式：Wilson体系;</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输入电路：浮地输入、具有除颤保护电路;</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采集方式：12导联同步采集;</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灵敏度（增益）：5mm/mV、10mm/mV、20mm/mV,误差不超过±5%;</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走纸速度：12.5mm／s、25mm/s、50mm/s，误差不超过±5%;</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共模抑制比：≧100dB;</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滤波：无、标准、增强、标准（低通150）；</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显示屏：≧10英寸电容式触摸彩色液晶屏，分辨率支持 1280x800像素 ；</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 xml:space="preserve">显示方式：支持12导心电波形显示； </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数据存储：内部存储&gt;10000份病例，支持外接SD卡，支持U盘；</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系统语言：中文、英文；</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具有导联脱落提示，可直观提示脱落导联，方便医生操作；</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具有待机功能，可手动唤醒；</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记录功能：支持热敏点阵打印；</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记录纸规格：支持210mm卷纸；</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记录模式：支持自动、手动；</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屏幕显示内容：心电波形显示、心率、导联名称、走纸速度、增益、滤波器状态、系统时间、患者信息、电池电量。</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时间偏移：≧98μs，幅度量化：≧0.04μV/LSB。</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数据传输：支持WLAN功能  IEEE 802.11 a/b/g/n ；以太网 10M/100M Base-T端口全双工/半双工自适应；</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蓝牙4.0双模、3.0、2.1+EDR；</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设备端口：具备1个USB接口（可存储数据、连接扫描枪）；1个SD卡插槽（可存储数据）；1个LAN网络接口；预留1个专用接口；预留1个HDMI专用接口；</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可充电锂电池：DC 22.2V/2AH以上；</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具备WORKLIST功能，可从HIS一键提取待检查患者详细信息，减少手工录入；</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支持心电图采集数据上传功能，在心电图采集完成后，可通过波形回放查看采集质量，确认后可上传至心电会诊中心，可设置自动上传或手动上传模式；</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支持心电图报告结论同步功能，在会诊中心诊断完成后，诊断结论可实时同步至本机；</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主机面板上具有物理快捷功能按钮，快捷完成新建病例、采集开始/停止、打印等功能。要求提供产品彩页证明及现场真实演示；</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支持快速心电功能，适用于急诊及紧急情况下，快速完成心电图的采集；</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具备波形预采功能，可用于捕捉偶发、一过性的心律失常事件，预采集时间可进行设置；</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具备导联脱落功能，可提示导联脱落；要求提供医疗器械注册证或其附件的复印件并圈出相应文字内容证明；</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具备自动记录功能，自动记录菜单中包括：10秒、15秒、20秒、30秒、1分钟、3分钟、5分钟；要求提供医疗器械注册证或其附件的复印件并圈出相应文字内容证明；</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数据传输：数据可通过无线和有线两种方式完成数据上传；要求提供医疗器械注册证或其附件的复印件并圈出相应文字内容证明；</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数据接口：数据可通过无线网络或有限网络基于TCP/IP传输协议以XML、HL7、DICOM、EDF格式进行传输；要求提供医疗器械注册证或其附件的复印件并圈出相应文字内容证明；</w:t>
      </w:r>
    </w:p>
    <w:p>
      <w:pPr>
        <w:numPr>
          <w:ilvl w:val="0"/>
          <w:numId w:val="1"/>
        </w:numPr>
        <w:adjustRightInd w:val="0"/>
        <w:snapToGrid w:val="0"/>
        <w:spacing w:line="360" w:lineRule="auto"/>
        <w:rPr>
          <w:rFonts w:ascii="宋体" w:hAnsi="宋体" w:eastAsia="宋体" w:cs="宋体"/>
          <w:bCs/>
          <w:sz w:val="24"/>
        </w:rPr>
      </w:pPr>
      <w:r>
        <w:rPr>
          <w:rFonts w:hint="eastAsia" w:ascii="宋体" w:hAnsi="宋体" w:eastAsia="宋体" w:cs="宋体"/>
          <w:bCs/>
          <w:sz w:val="24"/>
        </w:rPr>
        <w:t>具备用户访问控制：系统可分为操作员、管理员两种角色：管理员主要负责功能设置、用户管理功能；操作员主要使用业务功能完成检查。系统登录有密码访问验证，没有授权的操作用户无法使用系统。要求提供医疗器械注册证或其附件的复印件并圈出相应文字内容证明；</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58704"/>
    <w:multiLevelType w:val="singleLevel"/>
    <w:tmpl w:val="C4158704"/>
    <w:lvl w:ilvl="0" w:tentative="0">
      <w:start w:val="1"/>
      <w:numFmt w:val="decimal"/>
      <w:lvlText w:val="(%1)"/>
      <w:lvlJc w:val="left"/>
      <w:pPr>
        <w:ind w:left="425" w:hanging="425"/>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UyZWZhNDVkOTFkNzQyZWNhYmRlNjAxOWE3M2E2NjgifQ=="/>
  </w:docVars>
  <w:rsids>
    <w:rsidRoot w:val="00EF1555"/>
    <w:rsid w:val="0023467B"/>
    <w:rsid w:val="003340A1"/>
    <w:rsid w:val="00437F32"/>
    <w:rsid w:val="00562730"/>
    <w:rsid w:val="0088493C"/>
    <w:rsid w:val="009E00B0"/>
    <w:rsid w:val="00DD02F7"/>
    <w:rsid w:val="00EF1555"/>
    <w:rsid w:val="2BE46A5E"/>
    <w:rsid w:val="6E9B6578"/>
    <w:rsid w:val="6F7F1160"/>
    <w:rsid w:val="740643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kern w:val="2"/>
      <w:sz w:val="18"/>
      <w:szCs w:val="18"/>
    </w:rPr>
  </w:style>
  <w:style w:type="character" w:customStyle="1" w:styleId="7">
    <w:name w:val="页脚 Char"/>
    <w:basedOn w:val="5"/>
    <w:link w:val="2"/>
    <w:semiHidden/>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1111</Words>
  <Characters>1280</Characters>
  <Lines>9</Lines>
  <Paragraphs>2</Paragraphs>
  <TotalTime>4</TotalTime>
  <ScaleCrop>false</ScaleCrop>
  <LinksUpToDate>false</LinksUpToDate>
  <CharactersWithSpaces>1291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2020-12-03T05:54:00Z</dcterms:created>
  <dc:creator>周 德昭</dc:creator>
  <cp:lastModifiedBy>Administrator</cp:lastModifiedBy>
  <dcterms:modified xsi:type="dcterms:W3CDTF">2022-12-11T07:29:00Z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7FA97198A6F044DEADC6CD84B1E84029</vt:lpwstr>
  </property>
</Properties>
</file>